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A53D" w14:textId="77777777" w:rsidR="00583DE7" w:rsidRDefault="000D701A">
      <w:pPr>
        <w:pBdr>
          <w:top w:val="nil"/>
          <w:left w:val="nil"/>
          <w:bottom w:val="nil"/>
          <w:right w:val="nil"/>
          <w:between w:val="nil"/>
        </w:pBdr>
        <w:spacing w:before="26"/>
        <w:ind w:left="1980" w:right="2310"/>
        <w:jc w:val="center"/>
        <w:rPr>
          <w:b/>
          <w:color w:val="000000"/>
          <w:sz w:val="24"/>
          <w:szCs w:val="24"/>
        </w:rPr>
      </w:pPr>
      <w:r>
        <w:rPr>
          <w:b/>
          <w:color w:val="000000"/>
          <w:sz w:val="24"/>
          <w:szCs w:val="24"/>
        </w:rPr>
        <w:t>GOK/UNFPA 10</w:t>
      </w:r>
      <w:r>
        <w:rPr>
          <w:b/>
          <w:color w:val="000000"/>
          <w:sz w:val="24"/>
          <w:szCs w:val="24"/>
          <w:vertAlign w:val="superscript"/>
        </w:rPr>
        <w:t>TH</w:t>
      </w:r>
      <w:r>
        <w:rPr>
          <w:b/>
          <w:color w:val="000000"/>
          <w:sz w:val="24"/>
          <w:szCs w:val="24"/>
        </w:rPr>
        <w:t xml:space="preserve"> COUNTRY PROGRAMME</w:t>
      </w:r>
    </w:p>
    <w:p w14:paraId="7C6E02ED" w14:textId="77777777" w:rsidR="00583DE7" w:rsidRDefault="000D701A">
      <w:pPr>
        <w:pBdr>
          <w:top w:val="nil"/>
          <w:left w:val="nil"/>
          <w:bottom w:val="nil"/>
          <w:right w:val="nil"/>
          <w:between w:val="nil"/>
        </w:pBdr>
        <w:spacing w:before="26"/>
        <w:ind w:left="1980" w:right="2310"/>
        <w:jc w:val="center"/>
        <w:rPr>
          <w:b/>
          <w:color w:val="000000"/>
          <w:sz w:val="24"/>
          <w:szCs w:val="24"/>
        </w:rPr>
      </w:pPr>
      <w:r>
        <w:rPr>
          <w:b/>
          <w:color w:val="000000"/>
          <w:sz w:val="24"/>
          <w:szCs w:val="24"/>
        </w:rPr>
        <w:t>AADPD/ICPD30 REVIEW</w:t>
      </w:r>
    </w:p>
    <w:p w14:paraId="23734246" w14:textId="77777777" w:rsidR="00583DE7" w:rsidRDefault="000D701A">
      <w:pPr>
        <w:pBdr>
          <w:top w:val="nil"/>
          <w:left w:val="nil"/>
          <w:bottom w:val="nil"/>
          <w:right w:val="nil"/>
          <w:between w:val="nil"/>
        </w:pBdr>
        <w:spacing w:before="26"/>
        <w:ind w:left="1980" w:right="2310"/>
        <w:jc w:val="center"/>
        <w:rPr>
          <w:b/>
          <w:color w:val="000000"/>
          <w:sz w:val="24"/>
          <w:szCs w:val="24"/>
        </w:rPr>
      </w:pPr>
      <w:r>
        <w:rPr>
          <w:b/>
          <w:color w:val="000000"/>
          <w:sz w:val="24"/>
          <w:szCs w:val="24"/>
        </w:rPr>
        <w:t>TERMS OF REFERENCE FOR INDIVIDUAL CONSULTANTS</w:t>
      </w:r>
    </w:p>
    <w:p w14:paraId="17C23ACB" w14:textId="77777777" w:rsidR="00583DE7" w:rsidRDefault="000D701A">
      <w:pPr>
        <w:pBdr>
          <w:top w:val="nil"/>
          <w:left w:val="nil"/>
          <w:bottom w:val="nil"/>
          <w:right w:val="nil"/>
          <w:between w:val="nil"/>
        </w:pBdr>
        <w:ind w:left="1980" w:right="2772"/>
        <w:jc w:val="center"/>
        <w:rPr>
          <w:b/>
          <w:color w:val="000000"/>
          <w:sz w:val="24"/>
          <w:szCs w:val="24"/>
        </w:rPr>
      </w:pPr>
      <w:r>
        <w:rPr>
          <w:b/>
          <w:color w:val="000000"/>
          <w:sz w:val="24"/>
          <w:szCs w:val="24"/>
        </w:rPr>
        <w:t>Title: AADPD@10 National Technical Consultant</w:t>
      </w:r>
    </w:p>
    <w:p w14:paraId="11563C8A" w14:textId="5D53E668" w:rsidR="00583DE7" w:rsidRDefault="00583DE7">
      <w:pPr>
        <w:pBdr>
          <w:top w:val="nil"/>
          <w:left w:val="nil"/>
          <w:bottom w:val="nil"/>
          <w:right w:val="nil"/>
          <w:between w:val="nil"/>
        </w:pBdr>
        <w:ind w:left="1980" w:right="2772"/>
        <w:jc w:val="center"/>
        <w:rPr>
          <w:b/>
          <w:color w:val="000000"/>
          <w:sz w:val="24"/>
          <w:szCs w:val="24"/>
        </w:rPr>
      </w:pPr>
    </w:p>
    <w:tbl>
      <w:tblPr>
        <w:tblStyle w:val="a"/>
        <w:tblW w:w="104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60"/>
        <w:gridCol w:w="7980"/>
      </w:tblGrid>
      <w:tr w:rsidR="00583DE7" w14:paraId="76E7BD1D" w14:textId="77777777">
        <w:trPr>
          <w:trHeight w:val="480"/>
        </w:trPr>
        <w:tc>
          <w:tcPr>
            <w:tcW w:w="10440" w:type="dxa"/>
            <w:gridSpan w:val="2"/>
          </w:tcPr>
          <w:p w14:paraId="345D35DA" w14:textId="76BB1991" w:rsidR="00583DE7" w:rsidRDefault="000D701A" w:rsidP="003D61BD">
            <w:pPr>
              <w:pBdr>
                <w:top w:val="nil"/>
                <w:left w:val="nil"/>
                <w:bottom w:val="nil"/>
                <w:right w:val="nil"/>
                <w:between w:val="nil"/>
              </w:pBdr>
              <w:spacing w:before="100"/>
              <w:ind w:left="289"/>
              <w:jc w:val="center"/>
              <w:rPr>
                <w:b/>
                <w:color w:val="000000"/>
              </w:rPr>
            </w:pPr>
            <w:r>
              <w:rPr>
                <w:b/>
                <w:color w:val="000000"/>
              </w:rPr>
              <w:t>TERMS OF REFERENCE</w:t>
            </w:r>
          </w:p>
        </w:tc>
      </w:tr>
      <w:tr w:rsidR="00583DE7" w14:paraId="585FB984" w14:textId="77777777">
        <w:trPr>
          <w:trHeight w:val="480"/>
        </w:trPr>
        <w:tc>
          <w:tcPr>
            <w:tcW w:w="2460" w:type="dxa"/>
            <w:tcBorders>
              <w:bottom w:val="single" w:sz="8" w:space="0" w:color="000000"/>
            </w:tcBorders>
          </w:tcPr>
          <w:p w14:paraId="334F0855" w14:textId="77777777" w:rsidR="00583DE7" w:rsidRDefault="000D701A">
            <w:pPr>
              <w:pBdr>
                <w:top w:val="nil"/>
                <w:left w:val="nil"/>
                <w:bottom w:val="nil"/>
                <w:right w:val="nil"/>
                <w:between w:val="nil"/>
              </w:pBdr>
              <w:spacing w:before="95"/>
              <w:ind w:left="304"/>
              <w:rPr>
                <w:color w:val="000000"/>
              </w:rPr>
            </w:pPr>
            <w:r>
              <w:rPr>
                <w:color w:val="000000"/>
              </w:rPr>
              <w:t>Hiring Office:</w:t>
            </w:r>
          </w:p>
        </w:tc>
        <w:tc>
          <w:tcPr>
            <w:tcW w:w="7980" w:type="dxa"/>
            <w:tcBorders>
              <w:bottom w:val="single" w:sz="8" w:space="0" w:color="000000"/>
            </w:tcBorders>
          </w:tcPr>
          <w:p w14:paraId="79FF7606" w14:textId="77777777" w:rsidR="00583DE7" w:rsidRDefault="000D701A">
            <w:pPr>
              <w:pBdr>
                <w:top w:val="nil"/>
                <w:left w:val="nil"/>
                <w:bottom w:val="nil"/>
                <w:right w:val="nil"/>
                <w:between w:val="nil"/>
              </w:pBdr>
              <w:ind w:left="210"/>
              <w:rPr>
                <w:rFonts w:ascii="Times New Roman" w:eastAsia="Times New Roman" w:hAnsi="Times New Roman" w:cs="Times New Roman"/>
                <w:color w:val="000000"/>
              </w:rPr>
            </w:pPr>
            <w:r>
              <w:rPr>
                <w:rFonts w:ascii="Times New Roman" w:eastAsia="Times New Roman" w:hAnsi="Times New Roman" w:cs="Times New Roman"/>
                <w:color w:val="000000"/>
              </w:rPr>
              <w:t xml:space="preserve"> Kenya Country Office</w:t>
            </w:r>
          </w:p>
        </w:tc>
      </w:tr>
      <w:tr w:rsidR="00583DE7" w14:paraId="5492080B" w14:textId="77777777">
        <w:trPr>
          <w:trHeight w:val="1074"/>
        </w:trPr>
        <w:tc>
          <w:tcPr>
            <w:tcW w:w="2460" w:type="dxa"/>
            <w:tcBorders>
              <w:bottom w:val="single" w:sz="4" w:space="0" w:color="000000"/>
            </w:tcBorders>
          </w:tcPr>
          <w:p w14:paraId="6B5CE82C" w14:textId="77777777" w:rsidR="00583DE7" w:rsidRDefault="000D701A">
            <w:pPr>
              <w:pBdr>
                <w:top w:val="nil"/>
                <w:left w:val="nil"/>
                <w:bottom w:val="nil"/>
                <w:right w:val="nil"/>
                <w:between w:val="nil"/>
              </w:pBdr>
              <w:spacing w:before="90"/>
              <w:ind w:left="289" w:right="520" w:firstLine="15"/>
              <w:rPr>
                <w:color w:val="000000"/>
              </w:rPr>
            </w:pPr>
            <w:r>
              <w:rPr>
                <w:color w:val="000000"/>
              </w:rPr>
              <w:t>Purpose of consultancy:</w:t>
            </w:r>
          </w:p>
        </w:tc>
        <w:tc>
          <w:tcPr>
            <w:tcW w:w="7980" w:type="dxa"/>
            <w:tcBorders>
              <w:bottom w:val="single" w:sz="4" w:space="0" w:color="000000"/>
            </w:tcBorders>
          </w:tcPr>
          <w:p w14:paraId="6643DD6A" w14:textId="77777777" w:rsidR="00583DE7" w:rsidRDefault="000D701A">
            <w:pPr>
              <w:pBdr>
                <w:top w:val="nil"/>
                <w:left w:val="nil"/>
                <w:bottom w:val="nil"/>
                <w:right w:val="nil"/>
                <w:between w:val="nil"/>
              </w:pBdr>
              <w:spacing w:before="90"/>
              <w:ind w:left="304" w:right="208" w:firstLine="15"/>
              <w:jc w:val="both"/>
              <w:rPr>
                <w:i/>
                <w:color w:val="000000"/>
              </w:rPr>
            </w:pPr>
            <w:r>
              <w:rPr>
                <w:color w:val="000000"/>
              </w:rPr>
              <w:t xml:space="preserve">Purpose: </w:t>
            </w:r>
            <w:r>
              <w:rPr>
                <w:i/>
                <w:color w:val="000000"/>
              </w:rPr>
              <w:t>Assess the progress toward the implementation of the 10 years anniversary of AADPD following the national guideline in collaboration with UNFPA, UNECA, AUC and ensure consultation of key selected national stakeholders</w:t>
            </w:r>
          </w:p>
        </w:tc>
      </w:tr>
      <w:tr w:rsidR="00583DE7" w14:paraId="1C4B25A4" w14:textId="77777777">
        <w:trPr>
          <w:trHeight w:val="464"/>
        </w:trPr>
        <w:tc>
          <w:tcPr>
            <w:tcW w:w="2460" w:type="dxa"/>
            <w:tcBorders>
              <w:top w:val="single" w:sz="4" w:space="0" w:color="000000"/>
              <w:bottom w:val="nil"/>
            </w:tcBorders>
          </w:tcPr>
          <w:p w14:paraId="014B745A" w14:textId="77777777" w:rsidR="00583DE7" w:rsidRDefault="00583DE7">
            <w:pPr>
              <w:pBdr>
                <w:top w:val="nil"/>
                <w:left w:val="nil"/>
                <w:bottom w:val="nil"/>
                <w:right w:val="nil"/>
                <w:between w:val="nil"/>
              </w:pBdr>
              <w:rPr>
                <w:rFonts w:ascii="Times New Roman" w:eastAsia="Times New Roman" w:hAnsi="Times New Roman" w:cs="Times New Roman"/>
                <w:color w:val="000000"/>
              </w:rPr>
            </w:pPr>
          </w:p>
        </w:tc>
        <w:tc>
          <w:tcPr>
            <w:tcW w:w="7980" w:type="dxa"/>
            <w:tcBorders>
              <w:top w:val="single" w:sz="4" w:space="0" w:color="000000"/>
              <w:bottom w:val="nil"/>
            </w:tcBorders>
          </w:tcPr>
          <w:p w14:paraId="46BB58D1" w14:textId="77777777" w:rsidR="00583DE7" w:rsidRDefault="000D701A">
            <w:pPr>
              <w:pBdr>
                <w:top w:val="nil"/>
                <w:left w:val="nil"/>
                <w:bottom w:val="nil"/>
                <w:right w:val="nil"/>
                <w:between w:val="nil"/>
              </w:pBdr>
              <w:spacing w:before="102"/>
              <w:ind w:left="319"/>
              <w:rPr>
                <w:b/>
                <w:color w:val="000000"/>
              </w:rPr>
            </w:pPr>
            <w:r>
              <w:rPr>
                <w:b/>
                <w:color w:val="000000"/>
              </w:rPr>
              <w:t>Background</w:t>
            </w:r>
          </w:p>
        </w:tc>
      </w:tr>
      <w:tr w:rsidR="00583DE7" w14:paraId="2D94EAC5" w14:textId="77777777">
        <w:trPr>
          <w:trHeight w:val="10960"/>
        </w:trPr>
        <w:tc>
          <w:tcPr>
            <w:tcW w:w="2460" w:type="dxa"/>
            <w:tcBorders>
              <w:top w:val="nil"/>
            </w:tcBorders>
          </w:tcPr>
          <w:p w14:paraId="09EFD01C" w14:textId="77777777" w:rsidR="00583DE7" w:rsidRDefault="00583DE7">
            <w:pPr>
              <w:pBdr>
                <w:top w:val="nil"/>
                <w:left w:val="nil"/>
                <w:bottom w:val="nil"/>
                <w:right w:val="nil"/>
                <w:between w:val="nil"/>
              </w:pBdr>
              <w:rPr>
                <w:rFonts w:ascii="Times New Roman" w:eastAsia="Times New Roman" w:hAnsi="Times New Roman" w:cs="Times New Roman"/>
                <w:color w:val="000000"/>
              </w:rPr>
            </w:pPr>
          </w:p>
        </w:tc>
        <w:tc>
          <w:tcPr>
            <w:tcW w:w="7980" w:type="dxa"/>
            <w:vMerge w:val="restart"/>
            <w:tcBorders>
              <w:top w:val="nil"/>
            </w:tcBorders>
          </w:tcPr>
          <w:p w14:paraId="500F793E" w14:textId="77777777" w:rsidR="00583DE7" w:rsidRDefault="000D701A">
            <w:pPr>
              <w:pBdr>
                <w:top w:val="nil"/>
                <w:left w:val="nil"/>
                <w:bottom w:val="nil"/>
                <w:right w:val="nil"/>
                <w:between w:val="nil"/>
              </w:pBdr>
              <w:spacing w:before="20" w:line="268" w:lineRule="auto"/>
              <w:ind w:left="304" w:right="198"/>
              <w:jc w:val="both"/>
              <w:rPr>
                <w:color w:val="000000"/>
              </w:rPr>
            </w:pPr>
            <w:r>
              <w:rPr>
                <w:color w:val="000000"/>
              </w:rPr>
              <w:t xml:space="preserve">The ICPD@30 review, culminating in April 2024 at the 57th Session of Commission on Population and Development, is being undertaken in all the regions. In Africa, it is aligned with the </w:t>
            </w:r>
            <w:proofErr w:type="gramStart"/>
            <w:r>
              <w:rPr>
                <w:color w:val="000000"/>
              </w:rPr>
              <w:t>10 year</w:t>
            </w:r>
            <w:proofErr w:type="gramEnd"/>
            <w:r>
              <w:rPr>
                <w:color w:val="000000"/>
              </w:rPr>
              <w:t xml:space="preserve"> review of the implementation of the Addis Ababa Declaration on Population and Development (AADPD), a framework that localizes the ICPD Programme of Action for the continent. The ICPD@30 review will therefore be closely linked to the 10 years review of the AADPD implementation, hence it is referred to as ICPD@30/AADPD@10 review process.</w:t>
            </w:r>
          </w:p>
          <w:p w14:paraId="7CAB2CC4" w14:textId="77777777" w:rsidR="00583DE7" w:rsidRDefault="000D701A">
            <w:pPr>
              <w:pBdr>
                <w:top w:val="nil"/>
                <w:left w:val="nil"/>
                <w:bottom w:val="nil"/>
                <w:right w:val="nil"/>
                <w:between w:val="nil"/>
              </w:pBdr>
              <w:spacing w:before="39" w:line="268" w:lineRule="auto"/>
              <w:ind w:left="304" w:right="199"/>
              <w:jc w:val="both"/>
              <w:rPr>
                <w:color w:val="000000"/>
              </w:rPr>
            </w:pPr>
            <w:r>
              <w:rPr>
                <w:color w:val="000000"/>
              </w:rPr>
              <w:t>The Addis Ababa Declaration on Population and Development (AADPD) was adopted by African Ministers at the Africa Regional Conference on Population and Development held in Addis Ababa from October 3-4, 2013, and endorsed by African Heads of State at the African Union Executive Council in 2014. This declaration provides region-specific guidance on population and development in Africa, and guidelines for the full implementation of the International Conference on Population and Development (ICPD) beyond 2014 in Africa.</w:t>
            </w:r>
          </w:p>
          <w:p w14:paraId="4DE154F6" w14:textId="77777777" w:rsidR="00583DE7" w:rsidRDefault="000D701A">
            <w:pPr>
              <w:pBdr>
                <w:top w:val="nil"/>
                <w:left w:val="nil"/>
                <w:bottom w:val="nil"/>
                <w:right w:val="nil"/>
                <w:between w:val="nil"/>
              </w:pBdr>
              <w:spacing w:before="39" w:line="268" w:lineRule="auto"/>
              <w:ind w:left="304" w:right="200"/>
              <w:jc w:val="both"/>
              <w:rPr>
                <w:color w:val="000000"/>
              </w:rPr>
            </w:pPr>
            <w:r>
              <w:rPr>
                <w:color w:val="000000"/>
              </w:rPr>
              <w:t>The declaration comprises a total of 88 priority measures (commitments) grouped under six pillars: Dignity and Equality; Health; Place and Mobility; Governance; Data and Statistics; Partnership and International Cooperation. The year 2023 marks the 10 years since the adoption of the AADPD and a continental and series of national review will take place with technical support of UNFPA, AUC and UNECA in collaboration with national stakeholders in member states. The Review aims to assess and report on progress on implementation of the commitments contained in the Declaration, with a view towards highlighting the gains, gaps, best practices and challenges as depicted by the data and evidence from a policy perspective. This review is intended to highlight evidence-based recommendations that can (</w:t>
            </w:r>
            <w:proofErr w:type="spellStart"/>
            <w:r>
              <w:rPr>
                <w:color w:val="000000"/>
              </w:rPr>
              <w:t>i</w:t>
            </w:r>
            <w:proofErr w:type="spellEnd"/>
            <w:r>
              <w:rPr>
                <w:color w:val="000000"/>
              </w:rPr>
              <w:t>) accelerate progress on implementation at the national and continental level (ii) assist African countries towards actualizing the vision of the AADPD and (iii) pave the way to harness a demographic dividend, advance human rights and ultimately attain sustainable development, in line with Agendas 2030 and 2063.</w:t>
            </w:r>
          </w:p>
          <w:p w14:paraId="588541A6" w14:textId="77777777" w:rsidR="00583DE7" w:rsidRDefault="000D701A">
            <w:pPr>
              <w:pBdr>
                <w:top w:val="nil"/>
                <w:left w:val="nil"/>
                <w:bottom w:val="nil"/>
                <w:right w:val="nil"/>
                <w:between w:val="nil"/>
              </w:pBdr>
              <w:spacing w:before="39" w:line="268" w:lineRule="auto"/>
              <w:ind w:left="304" w:right="199"/>
              <w:jc w:val="both"/>
              <w:rPr>
                <w:color w:val="000000"/>
              </w:rPr>
            </w:pPr>
            <w:r>
              <w:rPr>
                <w:color w:val="000000"/>
              </w:rPr>
              <w:t xml:space="preserve">The AADPD Operational Guide for Monitoring and Evaluation (AADPD OG) was adopted during the second meeting of the Specialized Technical Committee on Health, Population and Drug Control (STC-HPDC-2) held in Addis Ababa (Ethiopia), March 23-24, 2017. The Operational guide informed and was used for the </w:t>
            </w:r>
            <w:proofErr w:type="gramStart"/>
            <w:r>
              <w:rPr>
                <w:color w:val="000000"/>
              </w:rPr>
              <w:t>5 year</w:t>
            </w:r>
            <w:proofErr w:type="gramEnd"/>
            <w:r>
              <w:rPr>
                <w:color w:val="000000"/>
              </w:rPr>
              <w:t xml:space="preserve"> review of </w:t>
            </w:r>
            <w:proofErr w:type="spellStart"/>
            <w:r>
              <w:rPr>
                <w:color w:val="000000"/>
              </w:rPr>
              <w:t>AADPDfollows</w:t>
            </w:r>
            <w:proofErr w:type="spellEnd"/>
            <w:r>
              <w:rPr>
                <w:color w:val="000000"/>
              </w:rPr>
              <w:t xml:space="preserve"> the dual approach of “micro-monitoring” (i.e. tracking the implementation of individual commitments) and “macro-evaluation” (i.e. assessment of progress on policies).</w:t>
            </w:r>
          </w:p>
          <w:p w14:paraId="0B3466CF" w14:textId="77777777" w:rsidR="00583DE7" w:rsidRDefault="000D701A">
            <w:pPr>
              <w:pBdr>
                <w:top w:val="nil"/>
                <w:left w:val="nil"/>
                <w:bottom w:val="nil"/>
                <w:right w:val="nil"/>
                <w:between w:val="nil"/>
              </w:pBdr>
              <w:spacing w:before="39" w:line="268" w:lineRule="auto"/>
              <w:ind w:left="304" w:right="202" w:firstLine="15"/>
              <w:jc w:val="both"/>
              <w:rPr>
                <w:color w:val="000000"/>
              </w:rPr>
            </w:pPr>
            <w:r>
              <w:rPr>
                <w:color w:val="000000"/>
              </w:rPr>
              <w:lastRenderedPageBreak/>
              <w:t>For the ADDPD@10 the Operational Guide and national monitoring guideline outline the modus of operandi. The review processes will also be inspired by (</w:t>
            </w:r>
            <w:proofErr w:type="spellStart"/>
            <w:r>
              <w:rPr>
                <w:color w:val="000000"/>
              </w:rPr>
              <w:t>i</w:t>
            </w:r>
            <w:proofErr w:type="spellEnd"/>
            <w:r>
              <w:rPr>
                <w:color w:val="000000"/>
              </w:rPr>
              <w:t xml:space="preserve">) guidance notes from the UNFPA ICPD30 Secretariat, (ii) the Africa Common position on Population and development (June 2022) and </w:t>
            </w:r>
            <w:proofErr w:type="spellStart"/>
            <w:r>
              <w:rPr>
                <w:color w:val="000000"/>
              </w:rPr>
              <w:t>and</w:t>
            </w:r>
            <w:proofErr w:type="spellEnd"/>
            <w:r>
              <w:rPr>
                <w:color w:val="000000"/>
              </w:rPr>
              <w:t xml:space="preserve"> (iii) impact of mega trends.</w:t>
            </w:r>
          </w:p>
          <w:p w14:paraId="7458BD15" w14:textId="77777777" w:rsidR="00583DE7" w:rsidRDefault="000D701A">
            <w:pPr>
              <w:pBdr>
                <w:top w:val="nil"/>
                <w:left w:val="nil"/>
                <w:bottom w:val="nil"/>
                <w:right w:val="nil"/>
                <w:between w:val="nil"/>
              </w:pBdr>
              <w:ind w:left="304" w:right="219"/>
              <w:jc w:val="both"/>
              <w:rPr>
                <w:color w:val="000000"/>
              </w:rPr>
            </w:pPr>
            <w:r>
              <w:rPr>
                <w:color w:val="000000"/>
              </w:rPr>
              <w:t>The review process led by AUC and will receive operational support by UNFPA, UNECA and a designated CSO lead to be confirmed.</w:t>
            </w:r>
          </w:p>
          <w:p w14:paraId="0B5ABD14" w14:textId="77777777" w:rsidR="00583DE7" w:rsidRDefault="000D701A">
            <w:pPr>
              <w:pBdr>
                <w:top w:val="nil"/>
                <w:left w:val="nil"/>
                <w:bottom w:val="nil"/>
                <w:right w:val="nil"/>
                <w:between w:val="nil"/>
              </w:pBdr>
              <w:spacing w:before="123"/>
              <w:ind w:left="304" w:right="199" w:firstLine="15"/>
              <w:jc w:val="both"/>
              <w:rPr>
                <w:color w:val="000000"/>
              </w:rPr>
            </w:pPr>
            <w:r>
              <w:rPr>
                <w:color w:val="000000"/>
              </w:rPr>
              <w:t>In particular, UNFPA and UNECA will provide monitoring tools and support member states to prepare National Reports, with oversight from the AUC. UNECA supported by UNFPA will be responsible for consolidating the regional report – African Continent AADPD@10 Review Report and following transmission by AUC, UNECA will be tasked with submission to the global level.</w:t>
            </w:r>
          </w:p>
          <w:p w14:paraId="331451DA" w14:textId="77777777" w:rsidR="00583DE7" w:rsidRDefault="000D701A">
            <w:pPr>
              <w:pBdr>
                <w:top w:val="nil"/>
                <w:left w:val="nil"/>
                <w:bottom w:val="nil"/>
                <w:right w:val="nil"/>
                <w:between w:val="nil"/>
              </w:pBdr>
              <w:spacing w:before="39" w:line="268" w:lineRule="auto"/>
              <w:ind w:left="304" w:right="202" w:firstLine="15"/>
              <w:jc w:val="both"/>
              <w:rPr>
                <w:color w:val="000000"/>
              </w:rPr>
            </w:pPr>
            <w:r>
              <w:rPr>
                <w:color w:val="000000"/>
              </w:rPr>
              <w:t>To this end, the UNFPA Kenya country office-with support from the regional office-is in the process of recruiting two national expert to support the conduct of the review at the national level.</w:t>
            </w:r>
          </w:p>
        </w:tc>
      </w:tr>
      <w:tr w:rsidR="00583DE7" w14:paraId="40AD9A1C" w14:textId="77777777">
        <w:trPr>
          <w:trHeight w:val="3656"/>
        </w:trPr>
        <w:tc>
          <w:tcPr>
            <w:tcW w:w="2460" w:type="dxa"/>
            <w:tcBorders>
              <w:top w:val="nil"/>
            </w:tcBorders>
          </w:tcPr>
          <w:p w14:paraId="44FF417C" w14:textId="77777777" w:rsidR="00583DE7" w:rsidRDefault="00583DE7">
            <w:pPr>
              <w:pBdr>
                <w:top w:val="nil"/>
                <w:left w:val="nil"/>
                <w:bottom w:val="nil"/>
                <w:right w:val="nil"/>
                <w:between w:val="nil"/>
              </w:pBdr>
              <w:rPr>
                <w:rFonts w:ascii="Times New Roman" w:eastAsia="Times New Roman" w:hAnsi="Times New Roman" w:cs="Times New Roman"/>
                <w:color w:val="000000"/>
              </w:rPr>
            </w:pPr>
            <w:bookmarkStart w:id="0" w:name="_heading=h.gjdgxs" w:colFirst="0" w:colLast="0"/>
            <w:bookmarkEnd w:id="0"/>
          </w:p>
        </w:tc>
        <w:tc>
          <w:tcPr>
            <w:tcW w:w="7980" w:type="dxa"/>
            <w:vMerge/>
            <w:tcBorders>
              <w:top w:val="nil"/>
            </w:tcBorders>
          </w:tcPr>
          <w:p w14:paraId="0F801B8D" w14:textId="77777777" w:rsidR="00583DE7" w:rsidRDefault="00583DE7">
            <w:pPr>
              <w:pBdr>
                <w:top w:val="nil"/>
                <w:left w:val="nil"/>
                <w:bottom w:val="nil"/>
                <w:right w:val="nil"/>
                <w:between w:val="nil"/>
              </w:pBdr>
              <w:spacing w:line="276" w:lineRule="auto"/>
              <w:rPr>
                <w:rFonts w:ascii="Times New Roman" w:eastAsia="Times New Roman" w:hAnsi="Times New Roman" w:cs="Times New Roman"/>
                <w:color w:val="000000"/>
              </w:rPr>
            </w:pPr>
          </w:p>
        </w:tc>
      </w:tr>
    </w:tbl>
    <w:tbl>
      <w:tblPr>
        <w:tblStyle w:val="a0"/>
        <w:tblW w:w="104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60"/>
        <w:gridCol w:w="7980"/>
      </w:tblGrid>
      <w:tr w:rsidR="00583DE7" w14:paraId="3B78B382" w14:textId="77777777">
        <w:trPr>
          <w:trHeight w:val="7217"/>
        </w:trPr>
        <w:tc>
          <w:tcPr>
            <w:tcW w:w="2460" w:type="dxa"/>
          </w:tcPr>
          <w:p w14:paraId="6BD62C24" w14:textId="77777777" w:rsidR="00583DE7" w:rsidRDefault="000D701A">
            <w:pPr>
              <w:pBdr>
                <w:top w:val="nil"/>
                <w:left w:val="nil"/>
                <w:bottom w:val="nil"/>
                <w:right w:val="nil"/>
                <w:between w:val="nil"/>
              </w:pBdr>
              <w:spacing w:before="111"/>
              <w:ind w:left="289"/>
              <w:rPr>
                <w:color w:val="000000"/>
              </w:rPr>
            </w:pPr>
            <w:r>
              <w:rPr>
                <w:color w:val="000000"/>
              </w:rPr>
              <w:t>Scope of work:</w:t>
            </w:r>
          </w:p>
          <w:p w14:paraId="1268499B" w14:textId="77777777" w:rsidR="00583DE7" w:rsidRDefault="000D701A">
            <w:pPr>
              <w:pBdr>
                <w:top w:val="nil"/>
                <w:left w:val="nil"/>
                <w:bottom w:val="nil"/>
                <w:right w:val="nil"/>
                <w:between w:val="nil"/>
              </w:pBdr>
              <w:spacing w:before="164" w:line="260" w:lineRule="auto"/>
              <w:ind w:left="304"/>
              <w:rPr>
                <w:i/>
                <w:color w:val="000000"/>
              </w:rPr>
            </w:pPr>
            <w:r>
              <w:rPr>
                <w:i/>
                <w:color w:val="000000"/>
              </w:rPr>
              <w:t>(Description of</w:t>
            </w:r>
          </w:p>
          <w:p w14:paraId="45DC81C5" w14:textId="77777777" w:rsidR="00583DE7" w:rsidRDefault="000D701A">
            <w:pPr>
              <w:pBdr>
                <w:top w:val="nil"/>
                <w:left w:val="nil"/>
                <w:bottom w:val="nil"/>
                <w:right w:val="nil"/>
                <w:between w:val="nil"/>
              </w:pBdr>
              <w:spacing w:line="231" w:lineRule="auto"/>
              <w:ind w:left="289"/>
              <w:rPr>
                <w:i/>
                <w:color w:val="000000"/>
              </w:rPr>
            </w:pPr>
            <w:r>
              <w:rPr>
                <w:i/>
                <w:color w:val="000000"/>
              </w:rPr>
              <w:t>services, activities, or</w:t>
            </w:r>
          </w:p>
          <w:p w14:paraId="376B40D4" w14:textId="77777777" w:rsidR="00583DE7" w:rsidRDefault="000D701A">
            <w:pPr>
              <w:pBdr>
                <w:top w:val="nil"/>
                <w:left w:val="nil"/>
                <w:bottom w:val="nil"/>
                <w:right w:val="nil"/>
                <w:between w:val="nil"/>
              </w:pBdr>
              <w:spacing w:line="239" w:lineRule="auto"/>
              <w:ind w:left="289"/>
              <w:rPr>
                <w:color w:val="000000"/>
              </w:rPr>
            </w:pPr>
            <w:r>
              <w:rPr>
                <w:i/>
                <w:color w:val="000000"/>
              </w:rPr>
              <w:t>outputs)</w:t>
            </w:r>
          </w:p>
        </w:tc>
        <w:tc>
          <w:tcPr>
            <w:tcW w:w="7980" w:type="dxa"/>
          </w:tcPr>
          <w:p w14:paraId="28A2CBD3" w14:textId="77777777" w:rsidR="00583DE7" w:rsidRDefault="000D701A">
            <w:pPr>
              <w:pBdr>
                <w:top w:val="nil"/>
                <w:left w:val="nil"/>
                <w:bottom w:val="nil"/>
                <w:right w:val="nil"/>
                <w:between w:val="nil"/>
              </w:pBdr>
              <w:spacing w:before="111"/>
              <w:ind w:left="304"/>
              <w:rPr>
                <w:color w:val="000000"/>
              </w:rPr>
            </w:pPr>
            <w:r>
              <w:rPr>
                <w:color w:val="000000"/>
              </w:rPr>
              <w:t>The expected outcome of the consultancy will include:</w:t>
            </w:r>
          </w:p>
          <w:p w14:paraId="08722A15" w14:textId="77777777" w:rsidR="00583DE7" w:rsidRDefault="00583DE7">
            <w:pPr>
              <w:pBdr>
                <w:top w:val="nil"/>
                <w:left w:val="nil"/>
                <w:bottom w:val="nil"/>
                <w:right w:val="nil"/>
                <w:between w:val="nil"/>
              </w:pBdr>
              <w:spacing w:before="3"/>
              <w:rPr>
                <w:b/>
                <w:color w:val="000000"/>
              </w:rPr>
            </w:pPr>
          </w:p>
          <w:p w14:paraId="1EC52599" w14:textId="77777777" w:rsidR="00583DE7" w:rsidRDefault="000D701A">
            <w:pPr>
              <w:numPr>
                <w:ilvl w:val="0"/>
                <w:numId w:val="2"/>
              </w:numPr>
              <w:pBdr>
                <w:top w:val="nil"/>
                <w:left w:val="nil"/>
                <w:bottom w:val="nil"/>
                <w:right w:val="nil"/>
                <w:between w:val="nil"/>
              </w:pBdr>
              <w:tabs>
                <w:tab w:val="left" w:pos="830"/>
              </w:tabs>
              <w:spacing w:line="244" w:lineRule="auto"/>
              <w:ind w:left="829" w:right="97"/>
              <w:jc w:val="both"/>
            </w:pPr>
            <w:r>
              <w:rPr>
                <w:color w:val="000000"/>
              </w:rPr>
              <w:t xml:space="preserve">Lead and facilitate the activities for the preparation of the national report in accordance with the national reporting guideline. </w:t>
            </w:r>
            <w:r>
              <w:rPr>
                <w:rFonts w:ascii="Gill Sans" w:eastAsia="Gill Sans" w:hAnsi="Gill Sans" w:cs="Gill Sans"/>
                <w:color w:val="444645"/>
                <w:sz w:val="21"/>
                <w:szCs w:val="21"/>
              </w:rPr>
              <w:t xml:space="preserve">Conduct desk research on relevant policies, programs and strategies and compile data in order to </w:t>
            </w:r>
            <w:r>
              <w:rPr>
                <w:color w:val="000000"/>
              </w:rPr>
              <w:t>conduct the micro and macro assessment as per national guidance document:</w:t>
            </w:r>
          </w:p>
          <w:p w14:paraId="0C401A61" w14:textId="77777777" w:rsidR="00583DE7" w:rsidRDefault="000D701A">
            <w:pPr>
              <w:pBdr>
                <w:top w:val="nil"/>
                <w:left w:val="nil"/>
                <w:bottom w:val="nil"/>
                <w:right w:val="nil"/>
                <w:between w:val="nil"/>
              </w:pBdr>
              <w:spacing w:line="242" w:lineRule="auto"/>
              <w:ind w:left="829" w:right="95"/>
              <w:jc w:val="both"/>
              <w:rPr>
                <w:color w:val="000000"/>
              </w:rPr>
            </w:pPr>
            <w:r>
              <w:rPr>
                <w:color w:val="000000"/>
              </w:rPr>
              <w:t>(a) inform the micro-monitoring of pertaining to the micro-monitoring of Country commitments based on the Operational Guide for Implementing and Monitoring of the AADPD beyond 2014; (b) inform the macro-evaluation of the AADPD.</w:t>
            </w:r>
          </w:p>
          <w:p w14:paraId="1240ACC5" w14:textId="77777777" w:rsidR="00583DE7" w:rsidRDefault="000D701A">
            <w:pPr>
              <w:numPr>
                <w:ilvl w:val="0"/>
                <w:numId w:val="2"/>
              </w:numPr>
              <w:pBdr>
                <w:top w:val="nil"/>
                <w:left w:val="nil"/>
                <w:bottom w:val="nil"/>
                <w:right w:val="nil"/>
                <w:between w:val="nil"/>
              </w:pBdr>
              <w:tabs>
                <w:tab w:val="left" w:pos="830"/>
              </w:tabs>
              <w:spacing w:line="242" w:lineRule="auto"/>
              <w:ind w:left="829" w:right="93"/>
              <w:jc w:val="both"/>
            </w:pPr>
            <w:r>
              <w:rPr>
                <w:color w:val="000000"/>
              </w:rPr>
              <w:t>Support national counterparts and/or established platforms to (a) draft the national review report based on the suggested national report structure and content proposed in the national AADPD10 Review Report Guidelines (b) incorporate views and information coming from various sources (notably diverse civil society organizations, including feminist organizations, women-led organizations, youth groups, human rights defenders, associations of people living disability academia, private sectors, and UN Agencies etc.) including those left behind and/or running the risk of being left behind , and (c) complementing the collected data</w:t>
            </w:r>
          </w:p>
          <w:p w14:paraId="5630B784" w14:textId="77777777" w:rsidR="00583DE7" w:rsidRDefault="000D701A">
            <w:pPr>
              <w:numPr>
                <w:ilvl w:val="0"/>
                <w:numId w:val="2"/>
              </w:numPr>
              <w:pBdr>
                <w:top w:val="nil"/>
                <w:left w:val="nil"/>
                <w:bottom w:val="nil"/>
                <w:right w:val="nil"/>
                <w:between w:val="nil"/>
              </w:pBdr>
              <w:tabs>
                <w:tab w:val="left" w:pos="830"/>
              </w:tabs>
              <w:spacing w:line="242" w:lineRule="auto"/>
              <w:ind w:left="829" w:right="96"/>
              <w:jc w:val="both"/>
            </w:pPr>
            <w:r>
              <w:rPr>
                <w:color w:val="000000"/>
              </w:rPr>
              <w:t>Facilitate national consultations and dialogue processes on key national review reports findings, in the form and manner which will be decided by national counterparts and the respective technical assistance partners (UNFPA, ECA, and others)</w:t>
            </w:r>
          </w:p>
          <w:p w14:paraId="25FD1467" w14:textId="77777777" w:rsidR="00583DE7" w:rsidRPr="000D701A" w:rsidRDefault="000D701A">
            <w:pPr>
              <w:numPr>
                <w:ilvl w:val="0"/>
                <w:numId w:val="2"/>
              </w:numPr>
              <w:pBdr>
                <w:top w:val="nil"/>
                <w:left w:val="nil"/>
                <w:bottom w:val="nil"/>
                <w:right w:val="nil"/>
                <w:between w:val="nil"/>
              </w:pBdr>
              <w:tabs>
                <w:tab w:val="left" w:pos="830"/>
              </w:tabs>
              <w:spacing w:line="242" w:lineRule="auto"/>
              <w:ind w:left="829" w:right="94"/>
              <w:jc w:val="both"/>
            </w:pPr>
            <w:r>
              <w:rPr>
                <w:color w:val="000000"/>
              </w:rPr>
              <w:t>Assist in the national validation of key national review findings, present the initial findings and incorporate relevant feedback prior to the finalization of the report.</w:t>
            </w:r>
          </w:p>
          <w:p w14:paraId="790477E6" w14:textId="77777777" w:rsidR="000D701A" w:rsidRDefault="000D701A">
            <w:pPr>
              <w:numPr>
                <w:ilvl w:val="0"/>
                <w:numId w:val="2"/>
              </w:numPr>
              <w:pBdr>
                <w:top w:val="nil"/>
                <w:left w:val="nil"/>
                <w:bottom w:val="nil"/>
                <w:right w:val="nil"/>
                <w:between w:val="nil"/>
              </w:pBdr>
              <w:tabs>
                <w:tab w:val="left" w:pos="830"/>
              </w:tabs>
              <w:spacing w:line="242" w:lineRule="auto"/>
              <w:ind w:left="829" w:right="94"/>
              <w:jc w:val="both"/>
            </w:pPr>
            <w:r>
              <w:rPr>
                <w:color w:val="000000"/>
              </w:rPr>
              <w:t>Develop dissemination materials</w:t>
            </w:r>
          </w:p>
        </w:tc>
      </w:tr>
      <w:tr w:rsidR="00583DE7" w14:paraId="4857D54F" w14:textId="77777777">
        <w:trPr>
          <w:trHeight w:val="739"/>
        </w:trPr>
        <w:tc>
          <w:tcPr>
            <w:tcW w:w="2460" w:type="dxa"/>
          </w:tcPr>
          <w:p w14:paraId="208B4CEF" w14:textId="77777777" w:rsidR="00583DE7" w:rsidRDefault="000D701A">
            <w:pPr>
              <w:pBdr>
                <w:top w:val="nil"/>
                <w:left w:val="nil"/>
                <w:bottom w:val="nil"/>
                <w:right w:val="nil"/>
                <w:between w:val="nil"/>
              </w:pBdr>
              <w:spacing w:before="101"/>
              <w:ind w:left="289" w:right="520" w:firstLine="15"/>
              <w:rPr>
                <w:color w:val="000000"/>
              </w:rPr>
            </w:pPr>
            <w:r>
              <w:rPr>
                <w:color w:val="000000"/>
              </w:rPr>
              <w:t>Duration and working schedule:</w:t>
            </w:r>
          </w:p>
        </w:tc>
        <w:tc>
          <w:tcPr>
            <w:tcW w:w="7980" w:type="dxa"/>
          </w:tcPr>
          <w:p w14:paraId="1B1323F9" w14:textId="77777777" w:rsidR="00583DE7" w:rsidRDefault="000D701A" w:rsidP="000D701A">
            <w:pPr>
              <w:pBdr>
                <w:top w:val="nil"/>
                <w:left w:val="nil"/>
                <w:bottom w:val="nil"/>
                <w:right w:val="nil"/>
                <w:between w:val="nil"/>
              </w:pBdr>
              <w:spacing w:before="101"/>
              <w:ind w:left="304"/>
              <w:rPr>
                <w:color w:val="000000"/>
              </w:rPr>
            </w:pPr>
            <w:r>
              <w:rPr>
                <w:color w:val="000000"/>
              </w:rPr>
              <w:t>The consultants will work from 17</w:t>
            </w:r>
            <w:r>
              <w:rPr>
                <w:color w:val="000000"/>
                <w:vertAlign w:val="superscript"/>
              </w:rPr>
              <w:t>th</w:t>
            </w:r>
            <w:r>
              <w:rPr>
                <w:color w:val="000000"/>
              </w:rPr>
              <w:t xml:space="preserve"> July to 4</w:t>
            </w:r>
            <w:r>
              <w:rPr>
                <w:color w:val="000000"/>
                <w:vertAlign w:val="superscript"/>
              </w:rPr>
              <w:t>th</w:t>
            </w:r>
            <w:r>
              <w:rPr>
                <w:color w:val="000000"/>
              </w:rPr>
              <w:t xml:space="preserve"> August 2023 for a total of 15 days.</w:t>
            </w:r>
          </w:p>
        </w:tc>
      </w:tr>
      <w:tr w:rsidR="00583DE7" w14:paraId="19D9E1B8" w14:textId="77777777">
        <w:trPr>
          <w:trHeight w:val="1064"/>
        </w:trPr>
        <w:tc>
          <w:tcPr>
            <w:tcW w:w="2460" w:type="dxa"/>
          </w:tcPr>
          <w:p w14:paraId="6C9F06F9" w14:textId="77777777" w:rsidR="00583DE7" w:rsidRDefault="000D701A">
            <w:pPr>
              <w:pBdr>
                <w:top w:val="nil"/>
                <w:left w:val="nil"/>
                <w:bottom w:val="nil"/>
                <w:right w:val="nil"/>
                <w:between w:val="nil"/>
              </w:pBdr>
              <w:spacing w:before="106"/>
              <w:ind w:left="289" w:right="520" w:firstLine="15"/>
              <w:rPr>
                <w:color w:val="000000"/>
              </w:rPr>
            </w:pPr>
            <w:r>
              <w:rPr>
                <w:color w:val="000000"/>
              </w:rPr>
              <w:t>Place where services are to be delivered:</w:t>
            </w:r>
          </w:p>
        </w:tc>
        <w:tc>
          <w:tcPr>
            <w:tcW w:w="7980" w:type="dxa"/>
          </w:tcPr>
          <w:p w14:paraId="2BDB5F0B" w14:textId="77777777" w:rsidR="00583DE7" w:rsidRDefault="000D701A">
            <w:pPr>
              <w:pBdr>
                <w:top w:val="nil"/>
                <w:left w:val="nil"/>
                <w:bottom w:val="nil"/>
                <w:right w:val="nil"/>
                <w:between w:val="nil"/>
              </w:pBdr>
              <w:spacing w:before="106"/>
              <w:ind w:left="319" w:hanging="15"/>
              <w:rPr>
                <w:color w:val="000000"/>
              </w:rPr>
            </w:pPr>
            <w:r>
              <w:rPr>
                <w:color w:val="000000"/>
              </w:rPr>
              <w:t>The consultant will be based in the Nairobi and will be required to attend meetings as may be requested by the necessity of data collection, national consultation/dialogue as well as the validation process.</w:t>
            </w:r>
          </w:p>
        </w:tc>
      </w:tr>
      <w:tr w:rsidR="00583DE7" w14:paraId="4C4042D9" w14:textId="77777777" w:rsidTr="00182216">
        <w:trPr>
          <w:trHeight w:val="1510"/>
        </w:trPr>
        <w:tc>
          <w:tcPr>
            <w:tcW w:w="2460" w:type="dxa"/>
          </w:tcPr>
          <w:p w14:paraId="56B51693" w14:textId="77777777" w:rsidR="00583DE7" w:rsidRDefault="000D701A">
            <w:pPr>
              <w:pBdr>
                <w:top w:val="nil"/>
                <w:left w:val="nil"/>
                <w:bottom w:val="nil"/>
                <w:right w:val="nil"/>
                <w:between w:val="nil"/>
              </w:pBdr>
              <w:spacing w:before="111"/>
              <w:ind w:left="304"/>
              <w:rPr>
                <w:color w:val="000000"/>
              </w:rPr>
            </w:pPr>
            <w:r>
              <w:rPr>
                <w:color w:val="000000"/>
              </w:rPr>
              <w:t>Delivery dates and</w:t>
            </w:r>
          </w:p>
          <w:p w14:paraId="7C2FF139" w14:textId="77777777" w:rsidR="00583DE7" w:rsidRDefault="000D701A">
            <w:pPr>
              <w:pBdr>
                <w:top w:val="nil"/>
                <w:left w:val="nil"/>
                <w:bottom w:val="nil"/>
                <w:right w:val="nil"/>
                <w:between w:val="nil"/>
              </w:pBdr>
              <w:spacing w:line="249" w:lineRule="auto"/>
              <w:ind w:left="289"/>
              <w:rPr>
                <w:color w:val="000000"/>
              </w:rPr>
            </w:pPr>
            <w:r>
              <w:rPr>
                <w:color w:val="000000"/>
              </w:rPr>
              <w:t>how work will be</w:t>
            </w:r>
          </w:p>
          <w:p w14:paraId="56460028" w14:textId="77777777" w:rsidR="00583DE7" w:rsidRDefault="000D701A">
            <w:pPr>
              <w:pBdr>
                <w:top w:val="nil"/>
                <w:left w:val="nil"/>
                <w:bottom w:val="nil"/>
                <w:right w:val="nil"/>
                <w:between w:val="nil"/>
              </w:pBdr>
              <w:spacing w:line="249" w:lineRule="auto"/>
              <w:ind w:left="289"/>
              <w:rPr>
                <w:i/>
                <w:color w:val="000000"/>
              </w:rPr>
            </w:pPr>
            <w:r>
              <w:rPr>
                <w:color w:val="000000"/>
              </w:rPr>
              <w:t>delivered (</w:t>
            </w:r>
            <w:r>
              <w:rPr>
                <w:i/>
                <w:color w:val="000000"/>
              </w:rPr>
              <w:t>e.g.</w:t>
            </w:r>
          </w:p>
          <w:p w14:paraId="5680E076" w14:textId="77777777" w:rsidR="00583DE7" w:rsidRDefault="000D701A">
            <w:pPr>
              <w:pBdr>
                <w:top w:val="nil"/>
                <w:left w:val="nil"/>
                <w:bottom w:val="nil"/>
                <w:right w:val="nil"/>
                <w:between w:val="nil"/>
              </w:pBdr>
              <w:spacing w:line="249" w:lineRule="auto"/>
              <w:ind w:left="289"/>
              <w:rPr>
                <w:color w:val="000000"/>
              </w:rPr>
            </w:pPr>
            <w:r>
              <w:rPr>
                <w:color w:val="000000"/>
              </w:rPr>
              <w:t>electronic, hard copy</w:t>
            </w:r>
          </w:p>
        </w:tc>
        <w:tc>
          <w:tcPr>
            <w:tcW w:w="7980" w:type="dxa"/>
          </w:tcPr>
          <w:p w14:paraId="292FF838" w14:textId="77777777" w:rsidR="00583DE7" w:rsidRPr="000D701A" w:rsidRDefault="000D701A" w:rsidP="000D701A">
            <w:pPr>
              <w:pStyle w:val="ListParagraph"/>
              <w:numPr>
                <w:ilvl w:val="0"/>
                <w:numId w:val="6"/>
              </w:numPr>
              <w:pBdr>
                <w:top w:val="nil"/>
                <w:left w:val="nil"/>
                <w:bottom w:val="nil"/>
                <w:right w:val="nil"/>
                <w:between w:val="nil"/>
              </w:pBdr>
              <w:tabs>
                <w:tab w:val="left" w:pos="829"/>
              </w:tabs>
              <w:spacing w:line="249" w:lineRule="auto"/>
              <w:rPr>
                <w:color w:val="000000"/>
              </w:rPr>
            </w:pPr>
            <w:r w:rsidRPr="000D701A">
              <w:rPr>
                <w:color w:val="000000"/>
              </w:rPr>
              <w:t>Inception report by Friday 18</w:t>
            </w:r>
            <w:r w:rsidRPr="000D701A">
              <w:rPr>
                <w:color w:val="000000"/>
                <w:vertAlign w:val="superscript"/>
              </w:rPr>
              <w:t>th</w:t>
            </w:r>
            <w:r w:rsidRPr="000D701A">
              <w:rPr>
                <w:color w:val="000000"/>
              </w:rPr>
              <w:t xml:space="preserve"> July 2023.</w:t>
            </w:r>
          </w:p>
          <w:p w14:paraId="30523EA8" w14:textId="77777777" w:rsidR="00583DE7" w:rsidRPr="000D701A" w:rsidRDefault="000D701A" w:rsidP="000D701A">
            <w:pPr>
              <w:pStyle w:val="ListParagraph"/>
              <w:numPr>
                <w:ilvl w:val="0"/>
                <w:numId w:val="6"/>
              </w:numPr>
              <w:pBdr>
                <w:top w:val="nil"/>
                <w:left w:val="nil"/>
                <w:bottom w:val="nil"/>
                <w:right w:val="nil"/>
                <w:between w:val="nil"/>
              </w:pBdr>
              <w:tabs>
                <w:tab w:val="left" w:pos="829"/>
              </w:tabs>
              <w:spacing w:line="249" w:lineRule="auto"/>
              <w:rPr>
                <w:color w:val="000000"/>
              </w:rPr>
            </w:pPr>
            <w:r w:rsidRPr="000D701A">
              <w:rPr>
                <w:color w:val="000000"/>
              </w:rPr>
              <w:t>Draft Report by 24 July 2023.</w:t>
            </w:r>
          </w:p>
          <w:p w14:paraId="5E3A835A" w14:textId="77777777" w:rsidR="00583DE7" w:rsidRPr="000D701A" w:rsidRDefault="000D701A" w:rsidP="000D701A">
            <w:pPr>
              <w:pStyle w:val="ListParagraph"/>
              <w:numPr>
                <w:ilvl w:val="0"/>
                <w:numId w:val="6"/>
              </w:numPr>
              <w:pBdr>
                <w:top w:val="nil"/>
                <w:left w:val="nil"/>
                <w:bottom w:val="nil"/>
                <w:right w:val="nil"/>
                <w:between w:val="nil"/>
              </w:pBdr>
              <w:tabs>
                <w:tab w:val="left" w:pos="829"/>
              </w:tabs>
              <w:spacing w:line="249" w:lineRule="auto"/>
              <w:rPr>
                <w:color w:val="000000"/>
              </w:rPr>
            </w:pPr>
            <w:r w:rsidRPr="000D701A">
              <w:rPr>
                <w:color w:val="000000"/>
              </w:rPr>
              <w:t>Final report of the consultancy by 30</w:t>
            </w:r>
            <w:r w:rsidRPr="000D701A">
              <w:rPr>
                <w:color w:val="000000"/>
                <w:vertAlign w:val="superscript"/>
              </w:rPr>
              <w:t>th</w:t>
            </w:r>
            <w:r w:rsidRPr="000D701A">
              <w:rPr>
                <w:color w:val="000000"/>
              </w:rPr>
              <w:t xml:space="preserve"> July 2023.</w:t>
            </w:r>
          </w:p>
          <w:p w14:paraId="05CE091D" w14:textId="77777777" w:rsidR="000D701A" w:rsidRPr="000D701A" w:rsidRDefault="000D701A" w:rsidP="000D701A">
            <w:pPr>
              <w:pStyle w:val="ListParagraph"/>
              <w:numPr>
                <w:ilvl w:val="0"/>
                <w:numId w:val="6"/>
              </w:numPr>
              <w:pBdr>
                <w:top w:val="nil"/>
                <w:left w:val="nil"/>
                <w:bottom w:val="nil"/>
                <w:right w:val="nil"/>
                <w:between w:val="nil"/>
              </w:pBdr>
              <w:tabs>
                <w:tab w:val="left" w:pos="829"/>
              </w:tabs>
              <w:spacing w:line="249" w:lineRule="auto"/>
              <w:rPr>
                <w:rFonts w:ascii="Times New Roman" w:eastAsia="Times New Roman" w:hAnsi="Times New Roman" w:cs="Times New Roman"/>
                <w:color w:val="000000"/>
                <w:sz w:val="20"/>
                <w:szCs w:val="20"/>
              </w:rPr>
            </w:pPr>
            <w:r w:rsidRPr="000D701A">
              <w:rPr>
                <w:color w:val="000000"/>
              </w:rPr>
              <w:t>Submission of dissemination briefs</w:t>
            </w:r>
            <w:r>
              <w:rPr>
                <w:color w:val="000000"/>
              </w:rPr>
              <w:t xml:space="preserve"> 4</w:t>
            </w:r>
            <w:r w:rsidRPr="000D701A">
              <w:rPr>
                <w:color w:val="000000"/>
                <w:vertAlign w:val="superscript"/>
              </w:rPr>
              <w:t>th</w:t>
            </w:r>
            <w:r>
              <w:rPr>
                <w:color w:val="000000"/>
              </w:rPr>
              <w:t xml:space="preserve"> August.</w:t>
            </w:r>
          </w:p>
        </w:tc>
      </w:tr>
    </w:tbl>
    <w:p w14:paraId="466431E5" w14:textId="77777777" w:rsidR="00583DE7" w:rsidRDefault="00583DE7">
      <w:pPr>
        <w:pBdr>
          <w:top w:val="nil"/>
          <w:left w:val="nil"/>
          <w:bottom w:val="nil"/>
          <w:right w:val="nil"/>
          <w:between w:val="nil"/>
        </w:pBdr>
        <w:spacing w:line="276" w:lineRule="auto"/>
      </w:pPr>
    </w:p>
    <w:tbl>
      <w:tblPr>
        <w:tblStyle w:val="a1"/>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20"/>
        <w:gridCol w:w="7920"/>
      </w:tblGrid>
      <w:tr w:rsidR="00583DE7" w14:paraId="0FEFC378" w14:textId="77777777" w:rsidTr="00182216">
        <w:trPr>
          <w:trHeight w:val="340"/>
        </w:trPr>
        <w:tc>
          <w:tcPr>
            <w:tcW w:w="2520" w:type="dxa"/>
          </w:tcPr>
          <w:p w14:paraId="0CDAF257" w14:textId="63E097F6" w:rsidR="00583DE7" w:rsidRDefault="00583DE7">
            <w:pPr>
              <w:pBdr>
                <w:top w:val="nil"/>
                <w:left w:val="nil"/>
                <w:bottom w:val="nil"/>
                <w:right w:val="nil"/>
                <w:between w:val="nil"/>
              </w:pBdr>
              <w:spacing w:before="106"/>
              <w:ind w:left="289"/>
              <w:rPr>
                <w:color w:val="000000"/>
              </w:rPr>
            </w:pPr>
          </w:p>
        </w:tc>
        <w:tc>
          <w:tcPr>
            <w:tcW w:w="7920" w:type="dxa"/>
          </w:tcPr>
          <w:p w14:paraId="468FA668" w14:textId="77777777" w:rsidR="00583DE7" w:rsidRDefault="00583DE7">
            <w:pPr>
              <w:pBdr>
                <w:top w:val="nil"/>
                <w:left w:val="nil"/>
                <w:bottom w:val="nil"/>
                <w:right w:val="nil"/>
                <w:between w:val="nil"/>
              </w:pBdr>
              <w:ind w:left="319"/>
              <w:rPr>
                <w:b/>
                <w:color w:val="000000"/>
              </w:rPr>
            </w:pPr>
          </w:p>
        </w:tc>
      </w:tr>
      <w:tr w:rsidR="00583DE7" w14:paraId="500653D2" w14:textId="77777777" w:rsidTr="00182216">
        <w:trPr>
          <w:trHeight w:val="1874"/>
        </w:trPr>
        <w:tc>
          <w:tcPr>
            <w:tcW w:w="2520" w:type="dxa"/>
          </w:tcPr>
          <w:p w14:paraId="7C2A8458" w14:textId="77777777" w:rsidR="00583DE7" w:rsidRDefault="000D701A">
            <w:pPr>
              <w:pBdr>
                <w:top w:val="nil"/>
                <w:left w:val="nil"/>
                <w:bottom w:val="nil"/>
                <w:right w:val="nil"/>
                <w:between w:val="nil"/>
              </w:pBdr>
              <w:spacing w:before="111"/>
              <w:ind w:left="304"/>
              <w:rPr>
                <w:color w:val="000000"/>
              </w:rPr>
            </w:pPr>
            <w:r>
              <w:rPr>
                <w:color w:val="000000"/>
              </w:rPr>
              <w:t>Monitoring and</w:t>
            </w:r>
          </w:p>
          <w:p w14:paraId="06241530" w14:textId="77777777" w:rsidR="00583DE7" w:rsidRDefault="000D701A">
            <w:pPr>
              <w:pBdr>
                <w:top w:val="nil"/>
                <w:left w:val="nil"/>
                <w:bottom w:val="nil"/>
                <w:right w:val="nil"/>
                <w:between w:val="nil"/>
              </w:pBdr>
              <w:spacing w:line="261" w:lineRule="auto"/>
              <w:ind w:left="304"/>
              <w:rPr>
                <w:color w:val="000000"/>
              </w:rPr>
            </w:pPr>
            <w:r>
              <w:rPr>
                <w:color w:val="000000"/>
              </w:rPr>
              <w:t>progress control,</w:t>
            </w:r>
          </w:p>
          <w:p w14:paraId="314D9799" w14:textId="77777777" w:rsidR="00583DE7" w:rsidRDefault="000D701A">
            <w:pPr>
              <w:pBdr>
                <w:top w:val="nil"/>
                <w:left w:val="nil"/>
                <w:bottom w:val="nil"/>
                <w:right w:val="nil"/>
                <w:between w:val="nil"/>
              </w:pBdr>
              <w:spacing w:line="249" w:lineRule="auto"/>
              <w:ind w:left="304"/>
              <w:rPr>
                <w:color w:val="000000"/>
              </w:rPr>
            </w:pPr>
            <w:r>
              <w:rPr>
                <w:color w:val="000000"/>
              </w:rPr>
              <w:t>including reporting</w:t>
            </w:r>
          </w:p>
          <w:p w14:paraId="08BD952A" w14:textId="77777777" w:rsidR="00583DE7" w:rsidRDefault="000D701A">
            <w:pPr>
              <w:pBdr>
                <w:top w:val="nil"/>
                <w:left w:val="nil"/>
                <w:bottom w:val="nil"/>
                <w:right w:val="nil"/>
                <w:between w:val="nil"/>
              </w:pBdr>
              <w:spacing w:line="249" w:lineRule="auto"/>
              <w:ind w:left="304"/>
              <w:rPr>
                <w:color w:val="000000"/>
              </w:rPr>
            </w:pPr>
            <w:r>
              <w:rPr>
                <w:color w:val="000000"/>
              </w:rPr>
              <w:t>requirements,</w:t>
            </w:r>
          </w:p>
          <w:p w14:paraId="6C1011CB" w14:textId="77777777" w:rsidR="00583DE7" w:rsidRDefault="000D701A">
            <w:pPr>
              <w:pBdr>
                <w:top w:val="nil"/>
                <w:left w:val="nil"/>
                <w:bottom w:val="nil"/>
                <w:right w:val="nil"/>
                <w:between w:val="nil"/>
              </w:pBdr>
              <w:spacing w:before="111"/>
              <w:ind w:left="289" w:right="520" w:firstLine="15"/>
              <w:rPr>
                <w:color w:val="000000"/>
              </w:rPr>
            </w:pPr>
            <w:r>
              <w:rPr>
                <w:color w:val="000000"/>
              </w:rPr>
              <w:t>periodicity format and deadline:</w:t>
            </w:r>
          </w:p>
        </w:tc>
        <w:tc>
          <w:tcPr>
            <w:tcW w:w="7920" w:type="dxa"/>
          </w:tcPr>
          <w:p w14:paraId="3F879906" w14:textId="77777777" w:rsidR="00583DE7" w:rsidRDefault="000D701A">
            <w:pPr>
              <w:pBdr>
                <w:top w:val="nil"/>
                <w:left w:val="nil"/>
                <w:bottom w:val="nil"/>
                <w:right w:val="nil"/>
                <w:between w:val="nil"/>
              </w:pBdr>
              <w:spacing w:before="111"/>
              <w:ind w:left="334"/>
              <w:rPr>
                <w:color w:val="000000"/>
              </w:rPr>
            </w:pPr>
            <w:r>
              <w:rPr>
                <w:color w:val="000000"/>
              </w:rPr>
              <w:t>The consultants will work closely with the UNFPA and NCPD technical team with regular check-in by the Population Data Specialist UNFPA.</w:t>
            </w:r>
          </w:p>
        </w:tc>
      </w:tr>
      <w:tr w:rsidR="00583DE7" w14:paraId="7312C973" w14:textId="77777777" w:rsidTr="00182216">
        <w:trPr>
          <w:trHeight w:val="704"/>
        </w:trPr>
        <w:tc>
          <w:tcPr>
            <w:tcW w:w="2520" w:type="dxa"/>
          </w:tcPr>
          <w:p w14:paraId="1DCA748F" w14:textId="77777777" w:rsidR="00583DE7" w:rsidRDefault="000D701A">
            <w:pPr>
              <w:pBdr>
                <w:top w:val="nil"/>
                <w:left w:val="nil"/>
                <w:bottom w:val="nil"/>
                <w:right w:val="nil"/>
                <w:between w:val="nil"/>
              </w:pBdr>
              <w:spacing w:before="116"/>
              <w:ind w:left="289" w:right="844"/>
              <w:rPr>
                <w:color w:val="000000"/>
              </w:rPr>
            </w:pPr>
            <w:r>
              <w:rPr>
                <w:color w:val="000000"/>
              </w:rPr>
              <w:t>Supervisory arrangements:</w:t>
            </w:r>
          </w:p>
        </w:tc>
        <w:tc>
          <w:tcPr>
            <w:tcW w:w="7920" w:type="dxa"/>
          </w:tcPr>
          <w:p w14:paraId="7AE6608C" w14:textId="77777777" w:rsidR="00583DE7" w:rsidRDefault="000D701A">
            <w:pPr>
              <w:pBdr>
                <w:top w:val="nil"/>
                <w:left w:val="nil"/>
                <w:bottom w:val="nil"/>
                <w:right w:val="nil"/>
                <w:between w:val="nil"/>
              </w:pBdr>
              <w:spacing w:before="116"/>
              <w:ind w:left="304"/>
              <w:rPr>
                <w:color w:val="000000"/>
              </w:rPr>
            </w:pPr>
            <w:r>
              <w:rPr>
                <w:color w:val="000000"/>
              </w:rPr>
              <w:t>The consultants will work under the direct supervision of Population Data Specialist UNFPA.</w:t>
            </w:r>
          </w:p>
        </w:tc>
      </w:tr>
      <w:tr w:rsidR="00583DE7" w14:paraId="17D54323" w14:textId="77777777" w:rsidTr="00182216">
        <w:trPr>
          <w:trHeight w:val="506"/>
        </w:trPr>
        <w:tc>
          <w:tcPr>
            <w:tcW w:w="2520" w:type="dxa"/>
          </w:tcPr>
          <w:p w14:paraId="32C744E1" w14:textId="77777777" w:rsidR="00583DE7" w:rsidRDefault="000D701A">
            <w:pPr>
              <w:pBdr>
                <w:top w:val="nil"/>
                <w:left w:val="nil"/>
                <w:bottom w:val="nil"/>
                <w:right w:val="nil"/>
                <w:between w:val="nil"/>
              </w:pBdr>
              <w:spacing w:before="116"/>
              <w:ind w:left="304"/>
              <w:rPr>
                <w:color w:val="000000"/>
              </w:rPr>
            </w:pPr>
            <w:r>
              <w:rPr>
                <w:color w:val="000000"/>
              </w:rPr>
              <w:t>Expected travel:</w:t>
            </w:r>
          </w:p>
        </w:tc>
        <w:tc>
          <w:tcPr>
            <w:tcW w:w="7920" w:type="dxa"/>
          </w:tcPr>
          <w:p w14:paraId="21AA2835" w14:textId="77777777" w:rsidR="00583DE7" w:rsidRDefault="000D701A">
            <w:pPr>
              <w:pBdr>
                <w:top w:val="nil"/>
                <w:left w:val="nil"/>
                <w:bottom w:val="nil"/>
                <w:right w:val="nil"/>
                <w:between w:val="nil"/>
              </w:pBdr>
              <w:spacing w:before="116"/>
              <w:ind w:left="354"/>
              <w:rPr>
                <w:color w:val="000000"/>
              </w:rPr>
            </w:pPr>
            <w:r>
              <w:rPr>
                <w:color w:val="000000"/>
              </w:rPr>
              <w:t>UNFPA will cater for transport and DSA for any nationwide travel that may be required.</w:t>
            </w:r>
          </w:p>
        </w:tc>
      </w:tr>
      <w:tr w:rsidR="00583DE7" w14:paraId="03A2151E" w14:textId="77777777" w:rsidTr="00182216">
        <w:trPr>
          <w:trHeight w:val="3500"/>
        </w:trPr>
        <w:tc>
          <w:tcPr>
            <w:tcW w:w="2520" w:type="dxa"/>
          </w:tcPr>
          <w:p w14:paraId="6B7D4CEF" w14:textId="77777777" w:rsidR="00583DE7" w:rsidRDefault="000D701A">
            <w:pPr>
              <w:pBdr>
                <w:top w:val="nil"/>
                <w:left w:val="nil"/>
                <w:bottom w:val="nil"/>
                <w:right w:val="nil"/>
                <w:between w:val="nil"/>
              </w:pBdr>
              <w:spacing w:before="106" w:line="244" w:lineRule="auto"/>
              <w:ind w:left="289" w:right="84" w:firstLine="15"/>
              <w:rPr>
                <w:color w:val="000000"/>
              </w:rPr>
            </w:pPr>
            <w:r>
              <w:rPr>
                <w:color w:val="000000"/>
              </w:rPr>
              <w:t>Required expertise, qualifications and competencies, including language requirements:</w:t>
            </w:r>
          </w:p>
        </w:tc>
        <w:tc>
          <w:tcPr>
            <w:tcW w:w="7920" w:type="dxa"/>
          </w:tcPr>
          <w:p w14:paraId="40FD6802" w14:textId="77777777" w:rsidR="00583DE7" w:rsidRDefault="000D701A" w:rsidP="001337BC">
            <w:pPr>
              <w:numPr>
                <w:ilvl w:val="0"/>
                <w:numId w:val="8"/>
              </w:numPr>
              <w:pBdr>
                <w:top w:val="nil"/>
                <w:left w:val="nil"/>
                <w:bottom w:val="nil"/>
                <w:right w:val="nil"/>
                <w:between w:val="nil"/>
              </w:pBdr>
              <w:tabs>
                <w:tab w:val="left" w:pos="687"/>
              </w:tabs>
              <w:spacing w:before="106"/>
              <w:ind w:right="957"/>
            </w:pPr>
            <w:r>
              <w:rPr>
                <w:color w:val="000000"/>
              </w:rPr>
              <w:t xml:space="preserve">An advanced degree or equivalent level in one of the following fields: Demography, Population Studies, Development Studies, Gender and development, </w:t>
            </w:r>
            <w:proofErr w:type="gramStart"/>
            <w:r>
              <w:rPr>
                <w:color w:val="000000"/>
              </w:rPr>
              <w:t>Public</w:t>
            </w:r>
            <w:proofErr w:type="gramEnd"/>
            <w:r>
              <w:rPr>
                <w:color w:val="000000"/>
              </w:rPr>
              <w:t xml:space="preserve"> health, Economics;</w:t>
            </w:r>
          </w:p>
          <w:p w14:paraId="548BDFE1" w14:textId="77777777" w:rsidR="00583DE7" w:rsidRDefault="00583DE7">
            <w:pPr>
              <w:pBdr>
                <w:top w:val="nil"/>
                <w:left w:val="nil"/>
                <w:bottom w:val="nil"/>
                <w:right w:val="nil"/>
                <w:between w:val="nil"/>
              </w:pBdr>
              <w:spacing w:before="1"/>
              <w:rPr>
                <w:b/>
                <w:color w:val="000000"/>
                <w:sz w:val="23"/>
                <w:szCs w:val="23"/>
              </w:rPr>
            </w:pPr>
          </w:p>
          <w:p w14:paraId="15189BB3" w14:textId="1B55F2C0" w:rsidR="00583DE7" w:rsidRDefault="001337BC" w:rsidP="001337BC">
            <w:pPr>
              <w:pStyle w:val="ListParagraph"/>
              <w:numPr>
                <w:ilvl w:val="0"/>
                <w:numId w:val="8"/>
              </w:numPr>
              <w:pBdr>
                <w:top w:val="nil"/>
                <w:left w:val="nil"/>
                <w:bottom w:val="nil"/>
                <w:right w:val="nil"/>
                <w:between w:val="nil"/>
              </w:pBdr>
              <w:tabs>
                <w:tab w:val="left" w:pos="687"/>
              </w:tabs>
              <w:spacing w:line="237" w:lineRule="auto"/>
              <w:ind w:right="584"/>
            </w:pPr>
            <w:r w:rsidRPr="001337BC">
              <w:rPr>
                <w:color w:val="000000"/>
              </w:rPr>
              <w:t>Seven years of e</w:t>
            </w:r>
            <w:r w:rsidR="000D701A" w:rsidRPr="001337BC">
              <w:rPr>
                <w:color w:val="000000"/>
              </w:rPr>
              <w:t>xperience working on the AADPD/ICPD review/programming process.</w:t>
            </w:r>
          </w:p>
          <w:p w14:paraId="6C19D726" w14:textId="77777777" w:rsidR="00583DE7" w:rsidRDefault="00583DE7">
            <w:pPr>
              <w:pBdr>
                <w:top w:val="nil"/>
                <w:left w:val="nil"/>
                <w:bottom w:val="nil"/>
                <w:right w:val="nil"/>
                <w:between w:val="nil"/>
              </w:pBdr>
              <w:rPr>
                <w:color w:val="000000"/>
              </w:rPr>
            </w:pPr>
          </w:p>
          <w:p w14:paraId="365FC4B1" w14:textId="77777777" w:rsidR="00583DE7" w:rsidRDefault="000D701A" w:rsidP="001337BC">
            <w:pPr>
              <w:numPr>
                <w:ilvl w:val="0"/>
                <w:numId w:val="8"/>
              </w:numPr>
              <w:pBdr>
                <w:top w:val="nil"/>
                <w:left w:val="nil"/>
                <w:bottom w:val="nil"/>
                <w:right w:val="nil"/>
                <w:between w:val="nil"/>
              </w:pBdr>
              <w:tabs>
                <w:tab w:val="left" w:pos="687"/>
              </w:tabs>
              <w:spacing w:line="237" w:lineRule="auto"/>
              <w:ind w:right="584"/>
              <w:jc w:val="both"/>
            </w:pPr>
            <w:r>
              <w:rPr>
                <w:color w:val="000000"/>
              </w:rPr>
              <w:t xml:space="preserve">Experience in working with working with national governments, the UN and the African Union or other international/regional bodies is an added advantage. </w:t>
            </w:r>
          </w:p>
          <w:p w14:paraId="130985C2" w14:textId="77777777" w:rsidR="00583DE7" w:rsidRDefault="00583DE7">
            <w:pPr>
              <w:pBdr>
                <w:top w:val="nil"/>
                <w:left w:val="nil"/>
                <w:bottom w:val="nil"/>
                <w:right w:val="nil"/>
                <w:between w:val="nil"/>
              </w:pBdr>
              <w:spacing w:before="8"/>
              <w:rPr>
                <w:b/>
                <w:color w:val="000000"/>
              </w:rPr>
            </w:pPr>
          </w:p>
          <w:p w14:paraId="6F5D1394" w14:textId="77777777" w:rsidR="00583DE7" w:rsidRDefault="000D701A" w:rsidP="001337BC">
            <w:pPr>
              <w:numPr>
                <w:ilvl w:val="0"/>
                <w:numId w:val="8"/>
              </w:numPr>
              <w:pBdr>
                <w:top w:val="nil"/>
                <w:left w:val="nil"/>
                <w:bottom w:val="nil"/>
                <w:right w:val="nil"/>
                <w:between w:val="nil"/>
              </w:pBdr>
              <w:tabs>
                <w:tab w:val="left" w:pos="687"/>
              </w:tabs>
              <w:ind w:right="512"/>
              <w:jc w:val="both"/>
            </w:pPr>
            <w:r>
              <w:rPr>
                <w:color w:val="000000"/>
              </w:rPr>
              <w:t>Experience working with a multidisciplinary team of experts.</w:t>
            </w:r>
          </w:p>
          <w:p w14:paraId="60C50621" w14:textId="77777777" w:rsidR="00583DE7" w:rsidRDefault="00583DE7">
            <w:pPr>
              <w:pBdr>
                <w:top w:val="nil"/>
                <w:left w:val="nil"/>
                <w:bottom w:val="nil"/>
                <w:right w:val="nil"/>
                <w:between w:val="nil"/>
              </w:pBdr>
              <w:tabs>
                <w:tab w:val="left" w:pos="687"/>
              </w:tabs>
              <w:ind w:right="512"/>
              <w:jc w:val="both"/>
              <w:rPr>
                <w:color w:val="000000"/>
              </w:rPr>
            </w:pPr>
          </w:p>
          <w:p w14:paraId="01891974" w14:textId="77777777" w:rsidR="00583DE7" w:rsidRDefault="000D701A" w:rsidP="001337BC">
            <w:pPr>
              <w:numPr>
                <w:ilvl w:val="0"/>
                <w:numId w:val="8"/>
              </w:numPr>
              <w:pBdr>
                <w:top w:val="nil"/>
                <w:left w:val="nil"/>
                <w:bottom w:val="nil"/>
                <w:right w:val="nil"/>
                <w:between w:val="nil"/>
              </w:pBdr>
              <w:tabs>
                <w:tab w:val="left" w:pos="687"/>
              </w:tabs>
              <w:spacing w:before="9" w:line="249" w:lineRule="auto"/>
              <w:ind w:right="5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in writing national reports required.</w:t>
            </w:r>
          </w:p>
        </w:tc>
      </w:tr>
      <w:tr w:rsidR="00583DE7" w14:paraId="6E842CB7" w14:textId="77777777" w:rsidTr="00182216">
        <w:trPr>
          <w:trHeight w:val="2194"/>
        </w:trPr>
        <w:tc>
          <w:tcPr>
            <w:tcW w:w="2520" w:type="dxa"/>
          </w:tcPr>
          <w:p w14:paraId="7C10C62F" w14:textId="77777777" w:rsidR="00583DE7" w:rsidRDefault="000D701A">
            <w:pPr>
              <w:pBdr>
                <w:top w:val="nil"/>
                <w:left w:val="nil"/>
                <w:bottom w:val="nil"/>
                <w:right w:val="nil"/>
                <w:between w:val="nil"/>
              </w:pBdr>
              <w:tabs>
                <w:tab w:val="left" w:pos="1908"/>
              </w:tabs>
              <w:spacing w:before="111"/>
              <w:ind w:left="304" w:right="335"/>
              <w:jc w:val="both"/>
              <w:rPr>
                <w:color w:val="000000"/>
              </w:rPr>
            </w:pPr>
            <w:r>
              <w:rPr>
                <w:color w:val="000000"/>
              </w:rPr>
              <w:t>Inputs / services to be provided by UNFPA</w:t>
            </w:r>
            <w:r>
              <w:rPr>
                <w:color w:val="000000"/>
              </w:rPr>
              <w:tab/>
              <w:t>or</w:t>
            </w:r>
          </w:p>
          <w:p w14:paraId="2A8FFDCE" w14:textId="77777777" w:rsidR="00583DE7" w:rsidRDefault="000D701A">
            <w:pPr>
              <w:pBdr>
                <w:top w:val="nil"/>
                <w:left w:val="nil"/>
                <w:bottom w:val="nil"/>
                <w:right w:val="nil"/>
                <w:between w:val="nil"/>
              </w:pBdr>
              <w:tabs>
                <w:tab w:val="left" w:pos="1747"/>
              </w:tabs>
              <w:spacing w:before="5" w:line="242" w:lineRule="auto"/>
              <w:ind w:left="289" w:right="338" w:firstLine="15"/>
              <w:rPr>
                <w:color w:val="000000"/>
              </w:rPr>
            </w:pPr>
            <w:r>
              <w:rPr>
                <w:color w:val="000000"/>
              </w:rPr>
              <w:t>implementing partner</w:t>
            </w:r>
            <w:r>
              <w:rPr>
                <w:color w:val="000000"/>
              </w:rPr>
              <w:tab/>
              <w:t>(</w:t>
            </w:r>
            <w:proofErr w:type="spellStart"/>
            <w:r>
              <w:rPr>
                <w:color w:val="000000"/>
              </w:rPr>
              <w:t>e.g</w:t>
            </w:r>
            <w:proofErr w:type="spellEnd"/>
            <w:r>
              <w:rPr>
                <w:color w:val="000000"/>
              </w:rPr>
              <w:t xml:space="preserve"> support services, office space, equipment), if applicable:</w:t>
            </w:r>
          </w:p>
        </w:tc>
        <w:tc>
          <w:tcPr>
            <w:tcW w:w="7920" w:type="dxa"/>
          </w:tcPr>
          <w:p w14:paraId="7108A4AB" w14:textId="77777777" w:rsidR="00583DE7" w:rsidRDefault="000D701A">
            <w:pPr>
              <w:pBdr>
                <w:top w:val="nil"/>
                <w:left w:val="nil"/>
                <w:bottom w:val="nil"/>
                <w:right w:val="nil"/>
                <w:between w:val="nil"/>
              </w:pBdr>
              <w:tabs>
                <w:tab w:val="left" w:pos="829"/>
                <w:tab w:val="left" w:pos="830"/>
              </w:tabs>
              <w:spacing w:before="12" w:line="252" w:lineRule="auto"/>
              <w:ind w:right="456"/>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consultants will be expected to have their own working space and computer. </w:t>
            </w:r>
          </w:p>
          <w:p w14:paraId="73A23658" w14:textId="77777777" w:rsidR="00583DE7" w:rsidRDefault="000D701A">
            <w:pPr>
              <w:pBdr>
                <w:top w:val="nil"/>
                <w:left w:val="nil"/>
                <w:bottom w:val="nil"/>
                <w:right w:val="nil"/>
                <w:between w:val="nil"/>
              </w:pBdr>
              <w:tabs>
                <w:tab w:val="left" w:pos="829"/>
                <w:tab w:val="left" w:pos="830"/>
              </w:tabs>
              <w:spacing w:before="12" w:line="252" w:lineRule="auto"/>
              <w:ind w:right="456"/>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among others will be provided by the UNFPA.</w:t>
            </w:r>
          </w:p>
          <w:p w14:paraId="310BC27C" w14:textId="77777777" w:rsidR="00583DE7" w:rsidRDefault="000D701A">
            <w:pPr>
              <w:pBdr>
                <w:top w:val="nil"/>
                <w:left w:val="nil"/>
                <w:bottom w:val="nil"/>
                <w:right w:val="nil"/>
                <w:between w:val="nil"/>
              </w:pBdr>
              <w:tabs>
                <w:tab w:val="left" w:pos="829"/>
                <w:tab w:val="left" w:pos="830"/>
              </w:tabs>
              <w:spacing w:before="12" w:line="252" w:lineRule="auto"/>
              <w:ind w:right="456"/>
              <w:rPr>
                <w:rFonts w:ascii="Times New Roman" w:eastAsia="Times New Roman" w:hAnsi="Times New Roman" w:cs="Times New Roman"/>
                <w:color w:val="000000"/>
              </w:rPr>
            </w:pPr>
            <w:r>
              <w:rPr>
                <w:rFonts w:ascii="Times New Roman" w:eastAsia="Times New Roman" w:hAnsi="Times New Roman" w:cs="Times New Roman"/>
                <w:color w:val="000000"/>
              </w:rPr>
              <w:t>AADPD 5 YEAR review report</w:t>
            </w:r>
          </w:p>
          <w:p w14:paraId="2B30D3E8" w14:textId="77777777" w:rsidR="00583DE7" w:rsidRDefault="000D701A">
            <w:pPr>
              <w:pBdr>
                <w:top w:val="nil"/>
                <w:left w:val="nil"/>
                <w:bottom w:val="nil"/>
                <w:right w:val="nil"/>
                <w:between w:val="nil"/>
              </w:pBdr>
              <w:tabs>
                <w:tab w:val="left" w:pos="829"/>
                <w:tab w:val="left" w:pos="830"/>
              </w:tabs>
              <w:spacing w:before="12" w:line="252" w:lineRule="auto"/>
              <w:ind w:right="456"/>
              <w:rPr>
                <w:rFonts w:ascii="Times New Roman" w:eastAsia="Times New Roman" w:hAnsi="Times New Roman" w:cs="Times New Roman"/>
                <w:color w:val="000000"/>
              </w:rPr>
            </w:pPr>
            <w:r>
              <w:rPr>
                <w:rFonts w:ascii="Times New Roman" w:eastAsia="Times New Roman" w:hAnsi="Times New Roman" w:cs="Times New Roman"/>
                <w:color w:val="000000"/>
              </w:rPr>
              <w:t>Operational Guide for Implementing and Monitoring of the Addis Ababa Declaration on Population and Development Beyond 2014</w:t>
            </w:r>
          </w:p>
          <w:p w14:paraId="0B3E425A" w14:textId="77777777" w:rsidR="00583DE7" w:rsidRDefault="000D701A">
            <w:pPr>
              <w:pBdr>
                <w:top w:val="nil"/>
                <w:left w:val="nil"/>
                <w:bottom w:val="nil"/>
                <w:right w:val="nil"/>
                <w:between w:val="nil"/>
              </w:pBdr>
              <w:tabs>
                <w:tab w:val="left" w:pos="829"/>
                <w:tab w:val="left" w:pos="830"/>
              </w:tabs>
              <w:spacing w:before="12" w:line="252" w:lineRule="auto"/>
              <w:ind w:right="456"/>
              <w:rPr>
                <w:rFonts w:ascii="Times New Roman" w:eastAsia="Times New Roman" w:hAnsi="Times New Roman" w:cs="Times New Roman"/>
                <w:color w:val="000000"/>
              </w:rPr>
            </w:pPr>
            <w:r>
              <w:rPr>
                <w:rFonts w:ascii="Times New Roman" w:eastAsia="Times New Roman" w:hAnsi="Times New Roman" w:cs="Times New Roman"/>
                <w:color w:val="000000"/>
              </w:rPr>
              <w:t>The National Report Guidelines will provide further technical detail</w:t>
            </w:r>
          </w:p>
        </w:tc>
      </w:tr>
    </w:tbl>
    <w:p w14:paraId="0A60411C" w14:textId="77777777" w:rsidR="00583DE7" w:rsidRDefault="00583DE7">
      <w:pPr>
        <w:ind w:left="100"/>
        <w:rPr>
          <w:sz w:val="20"/>
          <w:szCs w:val="20"/>
        </w:rPr>
      </w:pPr>
    </w:p>
    <w:sectPr w:rsidR="00583DE7">
      <w:pgSz w:w="11920" w:h="16840"/>
      <w:pgMar w:top="540" w:right="680" w:bottom="81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8BB"/>
    <w:multiLevelType w:val="hybridMultilevel"/>
    <w:tmpl w:val="00B8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29BC"/>
    <w:multiLevelType w:val="hybridMultilevel"/>
    <w:tmpl w:val="0E08CDD0"/>
    <w:lvl w:ilvl="0" w:tplc="DD8A7AF2">
      <w:numFmt w:val="bullet"/>
      <w:lvlText w:val="-"/>
      <w:lvlJc w:val="left"/>
      <w:pPr>
        <w:ind w:left="829" w:hanging="360"/>
      </w:pPr>
      <w:rPr>
        <w:rFonts w:ascii="Calibri" w:eastAsia="Calibri" w:hAnsi="Calibri" w:cs="Calibri"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220F5E44"/>
    <w:multiLevelType w:val="hybridMultilevel"/>
    <w:tmpl w:val="5FE2EB6E"/>
    <w:lvl w:ilvl="0" w:tplc="DD8A7AF2">
      <w:numFmt w:val="bullet"/>
      <w:lvlText w:val="-"/>
      <w:lvlJc w:val="left"/>
      <w:pPr>
        <w:ind w:left="82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1119E"/>
    <w:multiLevelType w:val="hybridMultilevel"/>
    <w:tmpl w:val="3416C09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 w15:restartNumberingAfterBreak="0">
    <w:nsid w:val="4BB70183"/>
    <w:multiLevelType w:val="hybridMultilevel"/>
    <w:tmpl w:val="38EAC9E6"/>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5" w15:restartNumberingAfterBreak="0">
    <w:nsid w:val="4C0F295F"/>
    <w:multiLevelType w:val="hybridMultilevel"/>
    <w:tmpl w:val="D3724E1C"/>
    <w:lvl w:ilvl="0" w:tplc="0409000F">
      <w:start w:val="1"/>
      <w:numFmt w:val="decimal"/>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6" w15:restartNumberingAfterBreak="0">
    <w:nsid w:val="5F5763EF"/>
    <w:multiLevelType w:val="multilevel"/>
    <w:tmpl w:val="03DA458E"/>
    <w:lvl w:ilvl="0">
      <w:start w:val="1"/>
      <w:numFmt w:val="decimal"/>
      <w:lvlText w:val="%1."/>
      <w:lvlJc w:val="left"/>
      <w:pPr>
        <w:ind w:left="470" w:hanging="217"/>
      </w:pPr>
      <w:rPr>
        <w:rFonts w:ascii="Calibri" w:eastAsia="Calibri" w:hAnsi="Calibri" w:cs="Calibri"/>
        <w:b w:val="0"/>
        <w:i w:val="0"/>
        <w:sz w:val="22"/>
        <w:szCs w:val="22"/>
      </w:rPr>
    </w:lvl>
    <w:lvl w:ilvl="1">
      <w:numFmt w:val="bullet"/>
      <w:lvlText w:val="•"/>
      <w:lvlJc w:val="left"/>
      <w:pPr>
        <w:ind w:left="1210" w:hanging="217"/>
      </w:pPr>
    </w:lvl>
    <w:lvl w:ilvl="2">
      <w:numFmt w:val="bullet"/>
      <w:lvlText w:val="•"/>
      <w:lvlJc w:val="left"/>
      <w:pPr>
        <w:ind w:left="1960" w:hanging="217"/>
      </w:pPr>
    </w:lvl>
    <w:lvl w:ilvl="3">
      <w:numFmt w:val="bullet"/>
      <w:lvlText w:val="•"/>
      <w:lvlJc w:val="left"/>
      <w:pPr>
        <w:ind w:left="2710" w:hanging="217"/>
      </w:pPr>
    </w:lvl>
    <w:lvl w:ilvl="4">
      <w:numFmt w:val="bullet"/>
      <w:lvlText w:val="•"/>
      <w:lvlJc w:val="left"/>
      <w:pPr>
        <w:ind w:left="3460" w:hanging="217"/>
      </w:pPr>
    </w:lvl>
    <w:lvl w:ilvl="5">
      <w:numFmt w:val="bullet"/>
      <w:lvlText w:val="•"/>
      <w:lvlJc w:val="left"/>
      <w:pPr>
        <w:ind w:left="4210" w:hanging="217"/>
      </w:pPr>
    </w:lvl>
    <w:lvl w:ilvl="6">
      <w:numFmt w:val="bullet"/>
      <w:lvlText w:val="•"/>
      <w:lvlJc w:val="left"/>
      <w:pPr>
        <w:ind w:left="4960" w:hanging="217"/>
      </w:pPr>
    </w:lvl>
    <w:lvl w:ilvl="7">
      <w:numFmt w:val="bullet"/>
      <w:lvlText w:val="•"/>
      <w:lvlJc w:val="left"/>
      <w:pPr>
        <w:ind w:left="5710" w:hanging="217"/>
      </w:pPr>
    </w:lvl>
    <w:lvl w:ilvl="8">
      <w:numFmt w:val="bullet"/>
      <w:lvlText w:val="•"/>
      <w:lvlJc w:val="left"/>
      <w:pPr>
        <w:ind w:left="6460" w:hanging="217"/>
      </w:pPr>
    </w:lvl>
  </w:abstractNum>
  <w:abstractNum w:abstractNumId="7" w15:restartNumberingAfterBreak="0">
    <w:nsid w:val="61BC3B4E"/>
    <w:multiLevelType w:val="multilevel"/>
    <w:tmpl w:val="BA42E744"/>
    <w:lvl w:ilvl="0">
      <w:start w:val="1"/>
      <w:numFmt w:val="decimal"/>
      <w:lvlText w:val="%1."/>
      <w:lvlJc w:val="left"/>
      <w:pPr>
        <w:ind w:left="830" w:hanging="360"/>
      </w:pPr>
      <w:rPr>
        <w:rFonts w:ascii="Calibri" w:eastAsia="Calibri" w:hAnsi="Calibri" w:cs="Calibri"/>
        <w:b w:val="0"/>
        <w:i w:val="0"/>
        <w:sz w:val="22"/>
        <w:szCs w:val="22"/>
      </w:rPr>
    </w:lvl>
    <w:lvl w:ilvl="1">
      <w:numFmt w:val="bullet"/>
      <w:lvlText w:val="•"/>
      <w:lvlJc w:val="left"/>
      <w:pPr>
        <w:ind w:left="1534" w:hanging="360"/>
      </w:pPr>
    </w:lvl>
    <w:lvl w:ilvl="2">
      <w:numFmt w:val="bullet"/>
      <w:lvlText w:val="•"/>
      <w:lvlJc w:val="left"/>
      <w:pPr>
        <w:ind w:left="2248" w:hanging="360"/>
      </w:pPr>
    </w:lvl>
    <w:lvl w:ilvl="3">
      <w:numFmt w:val="bullet"/>
      <w:lvlText w:val="•"/>
      <w:lvlJc w:val="left"/>
      <w:pPr>
        <w:ind w:left="2962" w:hanging="360"/>
      </w:pPr>
    </w:lvl>
    <w:lvl w:ilvl="4">
      <w:numFmt w:val="bullet"/>
      <w:lvlText w:val="•"/>
      <w:lvlJc w:val="left"/>
      <w:pPr>
        <w:ind w:left="3676" w:hanging="360"/>
      </w:pPr>
    </w:lvl>
    <w:lvl w:ilvl="5">
      <w:numFmt w:val="bullet"/>
      <w:lvlText w:val="•"/>
      <w:lvlJc w:val="left"/>
      <w:pPr>
        <w:ind w:left="4390" w:hanging="360"/>
      </w:pPr>
    </w:lvl>
    <w:lvl w:ilvl="6">
      <w:numFmt w:val="bullet"/>
      <w:lvlText w:val="•"/>
      <w:lvlJc w:val="left"/>
      <w:pPr>
        <w:ind w:left="5104" w:hanging="360"/>
      </w:pPr>
    </w:lvl>
    <w:lvl w:ilvl="7">
      <w:numFmt w:val="bullet"/>
      <w:lvlText w:val="•"/>
      <w:lvlJc w:val="left"/>
      <w:pPr>
        <w:ind w:left="5818" w:hanging="360"/>
      </w:pPr>
    </w:lvl>
    <w:lvl w:ilvl="8">
      <w:numFmt w:val="bullet"/>
      <w:lvlText w:val="•"/>
      <w:lvlJc w:val="left"/>
      <w:pPr>
        <w:ind w:left="6532" w:hanging="360"/>
      </w:pPr>
    </w:lvl>
  </w:abstractNum>
  <w:num w:numId="1" w16cid:durableId="668289102">
    <w:abstractNumId w:val="6"/>
  </w:num>
  <w:num w:numId="2" w16cid:durableId="567149885">
    <w:abstractNumId w:val="7"/>
  </w:num>
  <w:num w:numId="3" w16cid:durableId="974871053">
    <w:abstractNumId w:val="3"/>
  </w:num>
  <w:num w:numId="4" w16cid:durableId="1893687040">
    <w:abstractNumId w:val="4"/>
  </w:num>
  <w:num w:numId="5" w16cid:durableId="400102466">
    <w:abstractNumId w:val="1"/>
  </w:num>
  <w:num w:numId="6" w16cid:durableId="539443309">
    <w:abstractNumId w:val="2"/>
  </w:num>
  <w:num w:numId="7" w16cid:durableId="1405486972">
    <w:abstractNumId w:val="5"/>
  </w:num>
  <w:num w:numId="8" w16cid:durableId="90375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E7"/>
    <w:rsid w:val="000D701A"/>
    <w:rsid w:val="001337BC"/>
    <w:rsid w:val="00182216"/>
    <w:rsid w:val="003A1F0A"/>
    <w:rsid w:val="003D61BD"/>
    <w:rsid w:val="0054138D"/>
    <w:rsid w:val="00583DE7"/>
    <w:rsid w:val="007658B4"/>
    <w:rsid w:val="0098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8BA6"/>
  <w15:docId w15:val="{0D39E311-7224-4628-A133-922CA5B0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tZ++ga6h/wvRP7Ihbv8h3i8fww==">CgMxLjAyCGguZ2pkZ3hzOAByITFMOGJPd1BQVERxeEhERHVBcTBxZ1hPRk5CU2pPQ0hqbw==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Ezekiel</dc:creator>
  <cp:lastModifiedBy>Benjamin Akwah</cp:lastModifiedBy>
  <cp:revision>2</cp:revision>
  <dcterms:created xsi:type="dcterms:W3CDTF">2023-07-06T05:14:00Z</dcterms:created>
  <dcterms:modified xsi:type="dcterms:W3CDTF">2023-07-06T05:14:00Z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